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0613034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034F5">
        <w:rPr>
          <w:rFonts w:asciiTheme="minorHAnsi" w:hAnsiTheme="minorHAnsi" w:cstheme="minorHAnsi"/>
          <w:b/>
          <w:bCs/>
          <w:sz w:val="28"/>
          <w:szCs w:val="36"/>
        </w:rPr>
        <w:t>318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253D332C" w:rsidR="004C671A" w:rsidRDefault="00F034F5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GÜBRE İTHALİNE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60129E2A" w:rsidR="00D30FDF" w:rsidRDefault="00F034F5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2026/16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E5D602D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 w:rsidR="00F034F5">
        <w:rPr>
          <w:rFonts w:asciiTheme="minorHAnsi" w:hAnsiTheme="minorHAnsi" w:cstheme="minorHAnsi"/>
          <w:color w:val="000000"/>
        </w:rPr>
        <w:t xml:space="preserve">Ek-1 ve 2 liste kapsamı eşyanın ithalinde Tarım ve Orman Bakanlığının fiziksel olarak veya Tek Pencere Sistemi üzerinden elektronik olarak düzenlenecek Uygunluk Yazısının aranacağının belirtildiği görülmektedir.  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018F92F1" w:rsidR="0048316E" w:rsidRDefault="00F034F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"https://www.resmigazete.gov.tr/eskiler/2025/12/20251231M3-21.pdf"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F034F5">
        <w:rPr>
          <w:rStyle w:val="Kpr"/>
        </w:rPr>
        <w:t>https://www.resmigazete.gov.tr/eskiler/2025/12/20251231M3-21.pdf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147D1" w14:textId="77777777" w:rsidR="00E764E3" w:rsidRDefault="00E764E3" w:rsidP="00432733">
      <w:r>
        <w:separator/>
      </w:r>
    </w:p>
  </w:endnote>
  <w:endnote w:type="continuationSeparator" w:id="0">
    <w:p w14:paraId="3885CC3F" w14:textId="77777777" w:rsidR="00E764E3" w:rsidRDefault="00E764E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C8ECF" w14:textId="77777777" w:rsidR="00E764E3" w:rsidRDefault="00E764E3" w:rsidP="00432733">
      <w:r>
        <w:separator/>
      </w:r>
    </w:p>
  </w:footnote>
  <w:footnote w:type="continuationSeparator" w:id="0">
    <w:p w14:paraId="7B658372" w14:textId="77777777" w:rsidR="00E764E3" w:rsidRDefault="00E764E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E764E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4E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E764E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B432C2-F81D-4303-A684-E6B8239E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953</cp:revision>
  <dcterms:created xsi:type="dcterms:W3CDTF">2023-12-30T17:34:00Z</dcterms:created>
  <dcterms:modified xsi:type="dcterms:W3CDTF">2025-12-31T20:09:00Z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