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4B00418F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C000E">
        <w:rPr>
          <w:rFonts w:asciiTheme="minorHAnsi" w:hAnsiTheme="minorHAnsi" w:cstheme="minorHAnsi"/>
          <w:b/>
          <w:bCs/>
          <w:sz w:val="28"/>
          <w:szCs w:val="36"/>
        </w:rPr>
        <w:t>104</w:t>
      </w:r>
    </w:p>
    <w:p w14:paraId="76F4B3DE" w14:textId="67C08DBA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000E">
        <w:rPr>
          <w:rFonts w:asciiTheme="minorHAnsi" w:hAnsiTheme="minorHAnsi" w:cstheme="minorHAnsi"/>
          <w:bCs/>
          <w:sz w:val="28"/>
          <w:szCs w:val="28"/>
        </w:rPr>
        <w:t>10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37B8D4A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000E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72B04EFF" w14:textId="77777777" w:rsidR="00FC000E" w:rsidRPr="00FC000E" w:rsidRDefault="00FC000E" w:rsidP="00FC000E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C000E">
        <w:rPr>
          <w:rFonts w:asciiTheme="minorHAnsi" w:hAnsiTheme="minorHAnsi" w:cstheme="minorHAnsi"/>
          <w:b/>
          <w:bCs/>
          <w:color w:val="000000"/>
        </w:rPr>
        <w:t>YATIRIM PROJELERİNİN STRATEJİK ÖNCELİK VE</w:t>
      </w:r>
    </w:p>
    <w:p w14:paraId="70D37323" w14:textId="77777777" w:rsidR="00FC000E" w:rsidRPr="00FC000E" w:rsidRDefault="00FC000E" w:rsidP="00FC000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C000E">
        <w:rPr>
          <w:rFonts w:asciiTheme="minorHAnsi" w:hAnsiTheme="minorHAnsi" w:cstheme="minorHAnsi"/>
          <w:b/>
          <w:bCs/>
          <w:color w:val="000000"/>
        </w:rPr>
        <w:t>TEKNİK DEĞERLENDİRMESİNE DAİR TEBLİĞDE</w:t>
      </w:r>
    </w:p>
    <w:p w14:paraId="7AF4F222" w14:textId="77777777" w:rsidR="00FC000E" w:rsidRPr="00FC000E" w:rsidRDefault="00FC000E" w:rsidP="00FC000E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C000E">
        <w:rPr>
          <w:rFonts w:asciiTheme="minorHAnsi" w:hAnsiTheme="minorHAnsi" w:cstheme="minorHAnsi"/>
          <w:b/>
          <w:bCs/>
          <w:color w:val="000000"/>
        </w:rPr>
        <w:t>DEĞİŞİKLİK YAPILMASI HAKKINDA TEBLİĞ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7D28EF64" w14:textId="60989D07" w:rsidR="00992C4B" w:rsidRDefault="00FC000E" w:rsidP="009A459D">
      <w:pPr>
        <w:spacing w:line="240" w:lineRule="atLeast"/>
        <w:jc w:val="both"/>
        <w:rPr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Tebliğde yer alan bazı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çncelik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listesi teknolojilerde değişiklik yapıldığı görülmektedir. Özellikle </w:t>
      </w:r>
      <w:r w:rsidRPr="00FC000E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kritik hammadde listesinde yer alan elementlerin elde edilmesinin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öne çıkartıldığı anlaşılmaktadır. </w:t>
      </w:r>
    </w:p>
    <w:p w14:paraId="1A628F7F" w14:textId="77777777" w:rsidR="00D71FF4" w:rsidRPr="00992C4B" w:rsidRDefault="00D71FF4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25018BB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D3FBF">
        <w:rPr>
          <w:rFonts w:asciiTheme="minorHAnsi" w:hAnsiTheme="minorHAnsi" w:cstheme="minorHAnsi"/>
          <w:sz w:val="24"/>
          <w:szCs w:val="24"/>
          <w:lang w:eastAsia="tr-TR"/>
        </w:rPr>
        <w:t>resmi gazete</w:t>
      </w:r>
      <w:r w:rsidR="0025053B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4C048EC7" w:rsidR="00A552EB" w:rsidRPr="007808A1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FC000E">
          <w:rPr>
            <w:rStyle w:val="Kpr"/>
          </w:rPr>
          <w:t>https://www.resmigazete.gov.tr/eskiler/2026/04/20260410-5.htm</w:t>
        </w:r>
      </w:hyperlink>
    </w:p>
    <w:sectPr w:rsidR="00A552EB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4EB34" w14:textId="77777777" w:rsidR="00E246B2" w:rsidRDefault="00E246B2" w:rsidP="00432733">
      <w:r>
        <w:separator/>
      </w:r>
    </w:p>
  </w:endnote>
  <w:endnote w:type="continuationSeparator" w:id="0">
    <w:p w14:paraId="1E4B150F" w14:textId="77777777" w:rsidR="00E246B2" w:rsidRDefault="00E246B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4DA97" w14:textId="77777777" w:rsidR="00E246B2" w:rsidRDefault="00E246B2" w:rsidP="00432733">
      <w:r>
        <w:separator/>
      </w:r>
    </w:p>
  </w:footnote>
  <w:footnote w:type="continuationSeparator" w:id="0">
    <w:p w14:paraId="0B9D92D2" w14:textId="77777777" w:rsidR="00E246B2" w:rsidRDefault="00E246B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246B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6B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246B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10-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D71B7D-984E-4E0B-800A-D7B562A6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1232</cp:revision>
  <dcterms:created xsi:type="dcterms:W3CDTF">2023-12-30T17:34:00Z</dcterms:created>
  <dcterms:modified xsi:type="dcterms:W3CDTF">2026-04-10T05:09:00Z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