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5F616ABB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509AD">
        <w:rPr>
          <w:rFonts w:asciiTheme="minorHAnsi" w:hAnsiTheme="minorHAnsi" w:cstheme="minorHAnsi"/>
          <w:b/>
          <w:bCs/>
          <w:sz w:val="28"/>
          <w:szCs w:val="36"/>
        </w:rPr>
        <w:t>97</w:t>
      </w:r>
    </w:p>
    <w:p w14:paraId="76F4B3DE" w14:textId="5B4663CE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20849">
        <w:rPr>
          <w:rFonts w:asciiTheme="minorHAnsi" w:hAnsiTheme="minorHAnsi" w:cstheme="minorHAnsi"/>
          <w:bCs/>
          <w:sz w:val="28"/>
          <w:szCs w:val="28"/>
        </w:rPr>
        <w:t>03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30A4AE3C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509AD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0C19EE9" w14:textId="08F62545" w:rsidR="007808A1" w:rsidRPr="007808A1" w:rsidRDefault="00E509AD" w:rsidP="007808A1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YENİ BAĞLAYICI TARİFE BİLGİLERİ KARARI VERİLMİŞTİR.</w:t>
      </w:r>
    </w:p>
    <w:p w14:paraId="4E3F05CE" w14:textId="77777777" w:rsidR="00016C79" w:rsidRDefault="00016C79" w:rsidP="00D63436">
      <w:pPr>
        <w:spacing w:line="240" w:lineRule="atLeast"/>
        <w:jc w:val="both"/>
        <w:rPr>
          <w:color w:val="000000"/>
          <w:sz w:val="24"/>
          <w:szCs w:val="24"/>
        </w:rPr>
      </w:pPr>
    </w:p>
    <w:p w14:paraId="10ABA620" w14:textId="5EFAD064" w:rsidR="009A459D" w:rsidRPr="00B00BDA" w:rsidRDefault="00E509AD" w:rsidP="009A459D">
      <w:pPr>
        <w:spacing w:before="120"/>
        <w:jc w:val="both"/>
        <w:rPr>
          <w:rFonts w:asciiTheme="minorHAnsi" w:hAnsiTheme="minorHAnsi" w:cstheme="minorHAnsi"/>
          <w:color w:val="000000"/>
          <w:sz w:val="20"/>
          <w:szCs w:val="20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Bakanlık tarafından, </w:t>
      </w:r>
      <w:r w:rsidRPr="00E509AD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24 değişik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gümrük tarife ve istatistik pozisyonuna tabi eşya hakkında bağlayıcı tarife bilgisi üretildiği görülmüştür. </w:t>
      </w:r>
    </w:p>
    <w:p w14:paraId="19FD045D" w14:textId="77777777" w:rsidR="000F7C92" w:rsidRPr="001C5AAA" w:rsidRDefault="000F7C92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0CD3FDE3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E509AD">
        <w:rPr>
          <w:rFonts w:asciiTheme="minorHAnsi" w:hAnsiTheme="minorHAnsi" w:cstheme="minorHAnsi"/>
          <w:sz w:val="24"/>
          <w:szCs w:val="24"/>
          <w:lang w:eastAsia="tr-TR"/>
        </w:rPr>
        <w:t>Ticaret Bakanlığı Sayfasının</w:t>
      </w:r>
      <w:r w:rsidR="00320849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19970AC8" w:rsidR="001C5AAA" w:rsidRPr="001C5AAA" w:rsidRDefault="001C5AAA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proofErr w:type="gramStart"/>
      <w:r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proofErr w:type="gram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  <w:bookmarkStart w:id="0" w:name="_GoBack"/>
      <w:bookmarkEnd w:id="0"/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4F95890B" w:rsidR="00A552EB" w:rsidRPr="007808A1" w:rsidRDefault="00E509AD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E509AD">
        <w:rPr>
          <w:rFonts w:asciiTheme="minorHAnsi" w:hAnsiTheme="minorHAnsi" w:cstheme="minorHAnsi"/>
          <w:sz w:val="24"/>
          <w:szCs w:val="24"/>
          <w:lang w:val="en-US"/>
        </w:rPr>
        <w:t>https://uygulama.gtb.gov.tr/BTBBasvuru/Btbler</w:t>
      </w:r>
    </w:p>
    <w:sectPr w:rsidR="00A552EB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F6AFE1" w14:textId="77777777" w:rsidR="00A7051E" w:rsidRDefault="00A7051E" w:rsidP="00432733">
      <w:r>
        <w:separator/>
      </w:r>
    </w:p>
  </w:endnote>
  <w:endnote w:type="continuationSeparator" w:id="0">
    <w:p w14:paraId="23C0A4B8" w14:textId="77777777" w:rsidR="00A7051E" w:rsidRDefault="00A7051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F61962" w14:textId="77777777" w:rsidR="00A7051E" w:rsidRDefault="00A7051E" w:rsidP="00432733">
      <w:r>
        <w:separator/>
      </w:r>
    </w:p>
  </w:footnote>
  <w:footnote w:type="continuationSeparator" w:id="0">
    <w:p w14:paraId="7580AA2C" w14:textId="77777777" w:rsidR="00A7051E" w:rsidRDefault="00A7051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7051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7051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7051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01E582B-D22A-4ED0-9FB6-5BB5E3BCF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5329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1222</cp:revision>
  <dcterms:created xsi:type="dcterms:W3CDTF">2023-12-30T17:34:00Z</dcterms:created>
  <dcterms:modified xsi:type="dcterms:W3CDTF">2026-04-03T05:56:00Z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