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701CE532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4607C">
        <w:rPr>
          <w:rFonts w:asciiTheme="minorHAnsi" w:hAnsiTheme="minorHAnsi" w:cstheme="minorHAnsi"/>
          <w:b/>
          <w:bCs/>
          <w:sz w:val="28"/>
          <w:szCs w:val="36"/>
        </w:rPr>
        <w:t>245</w:t>
      </w:r>
    </w:p>
    <w:p w14:paraId="287E0BE0" w14:textId="58ED9F7C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4607C">
        <w:rPr>
          <w:rFonts w:asciiTheme="minorHAnsi" w:hAnsiTheme="minorHAnsi" w:cstheme="minorHAnsi"/>
          <w:sz w:val="24"/>
          <w:szCs w:val="24"/>
        </w:rPr>
        <w:t>19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  <w:bookmarkStart w:id="0" w:name="_GoBack"/>
      <w:bookmarkEnd w:id="0"/>
    </w:p>
    <w:p w14:paraId="14F09C3B" w14:textId="031E392D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4607C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6C5EA99D" w14:textId="01BE8ABC" w:rsidR="00234A06" w:rsidRDefault="00A4607C" w:rsidP="00234A06">
      <w:pPr>
        <w:pStyle w:val="ortabalkbold"/>
        <w:spacing w:before="0" w:beforeAutospacing="0" w:after="0" w:afterAutospacing="0" w:line="240" w:lineRule="atLeast"/>
        <w:jc w:val="center"/>
        <w:rPr>
          <w:rStyle w:val="grame"/>
          <w:rFonts w:asciiTheme="minorHAnsi" w:hAnsiTheme="minorHAnsi" w:cstheme="minorHAnsi"/>
          <w:b/>
          <w:bCs/>
          <w:color w:val="000000"/>
        </w:rPr>
      </w:pPr>
      <w:r>
        <w:rPr>
          <w:rStyle w:val="grame"/>
          <w:rFonts w:asciiTheme="minorHAnsi" w:hAnsiTheme="minorHAnsi" w:cstheme="minorHAnsi"/>
          <w:b/>
          <w:bCs/>
          <w:color w:val="000000"/>
        </w:rPr>
        <w:t>NAYLON VE DİĞER POLİAMİDLERDEN İPLİKLERİN İTHALATINDA</w:t>
      </w:r>
    </w:p>
    <w:p w14:paraId="05DCFCAE" w14:textId="50127E55" w:rsidR="00A4607C" w:rsidRDefault="00A4607C" w:rsidP="00234A06">
      <w:pPr>
        <w:pStyle w:val="ortabalkbold"/>
        <w:spacing w:before="0" w:beforeAutospacing="0" w:after="0" w:afterAutospacing="0" w:line="240" w:lineRule="atLeast"/>
        <w:jc w:val="center"/>
        <w:rPr>
          <w:rStyle w:val="grame"/>
          <w:rFonts w:asciiTheme="minorHAnsi" w:hAnsiTheme="minorHAnsi" w:cstheme="minorHAnsi"/>
          <w:b/>
          <w:bCs/>
          <w:color w:val="000000"/>
        </w:rPr>
      </w:pPr>
      <w:r>
        <w:rPr>
          <w:rStyle w:val="grame"/>
          <w:rFonts w:asciiTheme="minorHAnsi" w:hAnsiTheme="minorHAnsi" w:cstheme="minorHAnsi"/>
          <w:b/>
          <w:bCs/>
          <w:color w:val="000000"/>
        </w:rPr>
        <w:t>KORUNMA ÖNLEMİ UYUGULAMASINA İLİŞKİN KARAR</w:t>
      </w:r>
    </w:p>
    <w:p w14:paraId="6E7A7A9A" w14:textId="77777777" w:rsidR="009300CD" w:rsidRPr="00480F94" w:rsidRDefault="009300CD" w:rsidP="00234A0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70857405" w14:textId="583C2712" w:rsidR="00A4607C" w:rsidRDefault="00A4607C" w:rsidP="00662104">
      <w:pPr>
        <w:spacing w:before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CB 10578 sayılı Karar </w:t>
      </w:r>
      <w:proofErr w:type="gramStart"/>
      <w:r>
        <w:rPr>
          <w:color w:val="000000"/>
          <w:sz w:val="24"/>
          <w:szCs w:val="24"/>
        </w:rPr>
        <w:t>ile;</w:t>
      </w:r>
      <w:proofErr w:type="gramEnd"/>
      <w:r>
        <w:rPr>
          <w:color w:val="000000"/>
          <w:sz w:val="24"/>
          <w:szCs w:val="24"/>
        </w:rPr>
        <w:t xml:space="preserve"> 5402.31-32-45-51-61 GTP tabi olan eşyalara 3 ayrı dönem halinde 21.11.2025 tarihinden başlayıp 20.11.2028 tarihine kadar 0,22-0,475 ABD Doları/Kg olarak Ek Mali Yükümlülüğün konulduğu; Liste halinde yayınlanan bir grup ülke için de Tarife Kontenjanı açıldığı görülmektedir.  </w:t>
      </w:r>
    </w:p>
    <w:p w14:paraId="23BED0D7" w14:textId="67483D1A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p w14:paraId="0B0B166C" w14:textId="6452F675" w:rsidR="00234A06" w:rsidRPr="00413095" w:rsidRDefault="00A4607C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A4607C">
          <w:rPr>
            <w:rStyle w:val="Kpr"/>
          </w:rPr>
          <w:t>https://www.resmigazete.gov.tr/eskiler/2025/11/20251119-1.pdf</w:t>
        </w:r>
      </w:hyperlink>
    </w:p>
    <w:sectPr w:rsidR="00234A06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F981BC" w14:textId="77777777" w:rsidR="0008769F" w:rsidRDefault="0008769F" w:rsidP="00432733">
      <w:r>
        <w:separator/>
      </w:r>
    </w:p>
  </w:endnote>
  <w:endnote w:type="continuationSeparator" w:id="0">
    <w:p w14:paraId="639FD0D8" w14:textId="77777777" w:rsidR="0008769F" w:rsidRDefault="0008769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BA7C0B" w14:textId="77777777" w:rsidR="0008769F" w:rsidRDefault="0008769F" w:rsidP="00432733">
      <w:r>
        <w:separator/>
      </w:r>
    </w:p>
  </w:footnote>
  <w:footnote w:type="continuationSeparator" w:id="0">
    <w:p w14:paraId="1A8BC6C7" w14:textId="77777777" w:rsidR="0008769F" w:rsidRDefault="0008769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8769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769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8769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19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0767E15-068F-471B-9651-93DA88E0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3529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846</cp:revision>
  <dcterms:created xsi:type="dcterms:W3CDTF">2023-12-30T17:34:00Z</dcterms:created>
  <dcterms:modified xsi:type="dcterms:W3CDTF">2025-11-19T06:45:00Z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