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224F3D7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277D8">
        <w:rPr>
          <w:rFonts w:asciiTheme="minorHAnsi" w:hAnsiTheme="minorHAnsi" w:cstheme="minorHAnsi"/>
          <w:b/>
          <w:bCs/>
          <w:sz w:val="28"/>
          <w:szCs w:val="36"/>
        </w:rPr>
        <w:t>114</w:t>
      </w:r>
    </w:p>
    <w:p w14:paraId="76F4B3DE" w14:textId="6C2DA91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16B94">
        <w:rPr>
          <w:rFonts w:asciiTheme="minorHAnsi" w:hAnsiTheme="minorHAnsi" w:cstheme="minorHAnsi"/>
          <w:bCs/>
          <w:sz w:val="28"/>
          <w:szCs w:val="28"/>
        </w:rPr>
        <w:t>17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8E1CB3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80665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1A8A5608" w14:textId="6C742D8E" w:rsidR="00280665" w:rsidRDefault="005277D8" w:rsidP="005277D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PAN AVRUPA AKDENİZ MENŞE KÜMÜLASYON SİSTEMİ</w:t>
      </w:r>
    </w:p>
    <w:p w14:paraId="098B5A4F" w14:textId="1A443D5E" w:rsidR="005277D8" w:rsidRDefault="005277D8" w:rsidP="005277D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İGV UYGULAMASI-TUNUS VE ARNAVUTLUK</w:t>
      </w:r>
    </w:p>
    <w:p w14:paraId="40048C68" w14:textId="77777777" w:rsidR="005277D8" w:rsidRPr="00280665" w:rsidRDefault="005277D8" w:rsidP="005277D8">
      <w:pPr>
        <w:pStyle w:val="ortabalkbold"/>
        <w:spacing w:before="0" w:beforeAutospacing="0" w:after="17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AD9BE3B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3AA6B853" w14:textId="77777777" w:rsidR="005277D8" w:rsidRDefault="005277D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Anakara Gümrük Müşavirleri Derneğinin müracaatı ile oluştuğu fark edilen </w:t>
      </w:r>
      <w:r w:rsidRPr="005277D8">
        <w:rPr>
          <w:rFonts w:asciiTheme="minorHAnsi" w:hAnsiTheme="minorHAnsi" w:cstheme="minorHAnsi"/>
          <w:b/>
          <w:sz w:val="24"/>
          <w:szCs w:val="24"/>
          <w:lang w:eastAsia="tr-TR"/>
        </w:rPr>
        <w:t>A.TR Dolaşım Belgesi ve Tedarikçi Beyanları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eşliğinde </w:t>
      </w:r>
      <w:r w:rsidRPr="005277D8">
        <w:rPr>
          <w:rFonts w:asciiTheme="minorHAnsi" w:hAnsiTheme="minorHAnsi" w:cstheme="minorHAnsi"/>
          <w:b/>
          <w:sz w:val="24"/>
          <w:szCs w:val="24"/>
          <w:lang w:eastAsia="tr-TR"/>
        </w:rPr>
        <w:t>Tunus ve Arnavutluk’tan ithal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edilen eşyada </w:t>
      </w:r>
      <w:r w:rsidRPr="005277D8">
        <w:rPr>
          <w:rFonts w:asciiTheme="minorHAnsi" w:hAnsiTheme="minorHAnsi" w:cstheme="minorHAnsi"/>
          <w:b/>
          <w:sz w:val="24"/>
          <w:szCs w:val="24"/>
          <w:lang w:eastAsia="tr-TR"/>
        </w:rPr>
        <w:t>İGV uygulaması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sorununa, Uluslararası Anlaşmalar ve Avrupa Birliği Genel Müdürlüğünün 15.04.2026 günlü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121178227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yazılarında karşılık verilmiştir. Buna göre de;</w:t>
      </w:r>
    </w:p>
    <w:p w14:paraId="1F727963" w14:textId="77777777" w:rsidR="005277D8" w:rsidRDefault="005277D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23981B20" w14:textId="1B3F3E00" w:rsidR="00280665" w:rsidRPr="005277D8" w:rsidRDefault="005277D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5277D8">
        <w:rPr>
          <w:sz w:val="24"/>
          <w:szCs w:val="24"/>
        </w:rPr>
        <w:t xml:space="preserve">Geçirgenlik hükmü ve tedarikçi beyanına ilişkin mevzuat birlikte değerlendirildiğinde; AB’deki tedarikçilerin </w:t>
      </w:r>
      <w:r w:rsidRPr="005277D8">
        <w:rPr>
          <w:b/>
          <w:sz w:val="24"/>
          <w:szCs w:val="24"/>
        </w:rPr>
        <w:t>1 Ocak 2026 öncesinde</w:t>
      </w:r>
      <w:r w:rsidRPr="005277D8">
        <w:rPr>
          <w:sz w:val="24"/>
          <w:szCs w:val="24"/>
        </w:rPr>
        <w:t xml:space="preserve"> AB’ye </w:t>
      </w:r>
      <w:r w:rsidRPr="005277D8">
        <w:rPr>
          <w:b/>
          <w:sz w:val="24"/>
          <w:szCs w:val="24"/>
        </w:rPr>
        <w:t xml:space="preserve">2012 </w:t>
      </w:r>
      <w:r w:rsidRPr="005277D8">
        <w:rPr>
          <w:sz w:val="24"/>
          <w:szCs w:val="24"/>
        </w:rPr>
        <w:t xml:space="preserve">kurallarına göre ithal edilmiş olan Arnavutluk ve Tunus menşeli ürünler için Türkiye’deki </w:t>
      </w:r>
      <w:proofErr w:type="gramStart"/>
      <w:r w:rsidRPr="005277D8">
        <w:rPr>
          <w:sz w:val="24"/>
          <w:szCs w:val="24"/>
        </w:rPr>
        <w:t>alıcılarına</w:t>
      </w:r>
      <w:r w:rsidRPr="005277D8">
        <w:rPr>
          <w:sz w:val="24"/>
          <w:szCs w:val="24"/>
        </w:rPr>
        <w:t xml:space="preserve"> </w:t>
      </w:r>
      <w:r w:rsidRPr="005277D8">
        <w:rPr>
          <w:sz w:val="24"/>
          <w:szCs w:val="24"/>
        </w:rPr>
        <w:t xml:space="preserve"> </w:t>
      </w:r>
      <w:r w:rsidRPr="005277D8">
        <w:rPr>
          <w:b/>
          <w:sz w:val="24"/>
          <w:szCs w:val="24"/>
        </w:rPr>
        <w:t>1</w:t>
      </w:r>
      <w:proofErr w:type="gramEnd"/>
      <w:r w:rsidRPr="005277D8">
        <w:rPr>
          <w:b/>
          <w:sz w:val="24"/>
          <w:szCs w:val="24"/>
        </w:rPr>
        <w:t xml:space="preserve"> Ocak 2026 sonrasında</w:t>
      </w:r>
      <w:r w:rsidRPr="005277D8">
        <w:rPr>
          <w:sz w:val="24"/>
          <w:szCs w:val="24"/>
        </w:rPr>
        <w:t xml:space="preserve"> da ilgili eşyanın AB’ye ithali esnasında düzenlenen menşe ispat belgesine dayanarak belge saklama süresi olan </w:t>
      </w:r>
      <w:r w:rsidRPr="005277D8">
        <w:rPr>
          <w:b/>
          <w:sz w:val="24"/>
          <w:szCs w:val="24"/>
        </w:rPr>
        <w:t>3 yıl</w:t>
      </w:r>
      <w:r w:rsidRPr="005277D8">
        <w:rPr>
          <w:sz w:val="24"/>
          <w:szCs w:val="24"/>
        </w:rPr>
        <w:t xml:space="preserve"> dolana dek t</w:t>
      </w:r>
      <w:r w:rsidRPr="005277D8">
        <w:rPr>
          <w:sz w:val="24"/>
          <w:szCs w:val="24"/>
        </w:rPr>
        <w:t>edarikçi beyanı verebileceklerdir.  S</w:t>
      </w:r>
      <w:r w:rsidRPr="005277D8">
        <w:rPr>
          <w:sz w:val="24"/>
          <w:szCs w:val="24"/>
        </w:rPr>
        <w:t>öz</w:t>
      </w:r>
      <w:r w:rsidRPr="005277D8">
        <w:rPr>
          <w:sz w:val="24"/>
          <w:szCs w:val="24"/>
        </w:rPr>
        <w:t xml:space="preserve"> </w:t>
      </w:r>
      <w:r w:rsidRPr="005277D8">
        <w:rPr>
          <w:sz w:val="24"/>
          <w:szCs w:val="24"/>
        </w:rPr>
        <w:t xml:space="preserve">konusu ürünlerin </w:t>
      </w:r>
      <w:r w:rsidRPr="005277D8">
        <w:rPr>
          <w:b/>
          <w:sz w:val="24"/>
          <w:szCs w:val="24"/>
        </w:rPr>
        <w:t>2023 kurallarına</w:t>
      </w:r>
      <w:r w:rsidRPr="005277D8">
        <w:rPr>
          <w:sz w:val="24"/>
          <w:szCs w:val="24"/>
        </w:rPr>
        <w:t xml:space="preserve"> göre AB’ye ithal edilmiş olması halinde ise </w:t>
      </w:r>
      <w:r w:rsidRPr="005277D8">
        <w:rPr>
          <w:b/>
          <w:sz w:val="24"/>
          <w:szCs w:val="24"/>
        </w:rPr>
        <w:t>1 Ocak 2026</w:t>
      </w:r>
      <w:r w:rsidRPr="005277D8">
        <w:rPr>
          <w:sz w:val="24"/>
          <w:szCs w:val="24"/>
        </w:rPr>
        <w:t xml:space="preserve"> ile ilgili ülke (</w:t>
      </w:r>
      <w:r w:rsidRPr="005277D8">
        <w:rPr>
          <w:b/>
          <w:sz w:val="24"/>
          <w:szCs w:val="24"/>
        </w:rPr>
        <w:t>Tunus/Arnavutluk</w:t>
      </w:r>
      <w:r w:rsidRPr="005277D8">
        <w:rPr>
          <w:sz w:val="24"/>
          <w:szCs w:val="24"/>
        </w:rPr>
        <w:t xml:space="preserve">) ile Türkiye arasındaki STA tadilatının yürürlüğe girdiği tarihe kadar Türkiye’deki alıcılarına </w:t>
      </w:r>
      <w:r w:rsidRPr="005277D8">
        <w:rPr>
          <w:b/>
          <w:sz w:val="24"/>
          <w:szCs w:val="24"/>
        </w:rPr>
        <w:t>tedarikçi beyanı veremeyecekleri</w:t>
      </w:r>
      <w:r w:rsidRPr="005277D8">
        <w:rPr>
          <w:sz w:val="24"/>
          <w:szCs w:val="24"/>
        </w:rPr>
        <w:t xml:space="preserve"> mülahaza edilmektedir.</w:t>
      </w:r>
      <w:r w:rsidRPr="005277D8">
        <w:rPr>
          <w:rFonts w:asciiTheme="minorHAnsi" w:hAnsiTheme="minorHAnsi" w:cstheme="minorHAnsi"/>
          <w:sz w:val="24"/>
          <w:szCs w:val="24"/>
          <w:lang w:eastAsia="tr-TR"/>
        </w:rPr>
        <w:t xml:space="preserve"> İGV beyanlarının da bu şekilde düzenlenmiş tercihli menşe belgelerine göre değerlendirilmesinin istenildiği görülmektedir.  </w:t>
      </w:r>
    </w:p>
    <w:p w14:paraId="06E5D4C4" w14:textId="77777777" w:rsidR="00DB3064" w:rsidRDefault="00DB306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7AAC9675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1C68AE" w14:textId="77777777" w:rsidR="00FC000E" w:rsidRDefault="005277D8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245818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6pt;height:49.55pt" o:ole="">
            <v:imagedata r:id="rId8" o:title=""/>
          </v:shape>
          <o:OLEObject Type="Embed" ProgID="Acrobat.Document.DC" ShapeID="_x0000_i1025" DrawAspect="Icon" ObjectID="_1837925458" r:id="rId9"/>
        </w:object>
      </w:r>
    </w:p>
    <w:p w14:paraId="331D70B4" w14:textId="328AD675" w:rsidR="003412FE" w:rsidRPr="007808A1" w:rsidRDefault="003412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bookmarkStart w:id="0" w:name="_GoBack"/>
      <w:bookmarkEnd w:id="0"/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AFAFEF" w14:textId="77777777" w:rsidR="00A72A55" w:rsidRDefault="00A72A55" w:rsidP="00432733">
      <w:r>
        <w:separator/>
      </w:r>
    </w:p>
  </w:endnote>
  <w:endnote w:type="continuationSeparator" w:id="0">
    <w:p w14:paraId="3486A52C" w14:textId="77777777" w:rsidR="00A72A55" w:rsidRDefault="00A72A5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8E8D60" w14:textId="77777777" w:rsidR="00A72A55" w:rsidRDefault="00A72A55" w:rsidP="00432733">
      <w:r>
        <w:separator/>
      </w:r>
    </w:p>
  </w:footnote>
  <w:footnote w:type="continuationSeparator" w:id="0">
    <w:p w14:paraId="6731B3B7" w14:textId="77777777" w:rsidR="00A72A55" w:rsidRDefault="00A72A5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72A5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2A5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72A5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81C80F-589E-456B-9F51-12D5897F1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5541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1245</cp:revision>
  <dcterms:created xsi:type="dcterms:W3CDTF">2023-12-30T17:34:00Z</dcterms:created>
  <dcterms:modified xsi:type="dcterms:W3CDTF">2026-04-17T07:05:00Z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