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DA53B7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C5667E">
        <w:rPr>
          <w:rFonts w:asciiTheme="minorHAnsi" w:hAnsiTheme="minorHAnsi" w:cstheme="minorHAnsi"/>
          <w:b/>
          <w:bCs/>
          <w:sz w:val="28"/>
          <w:szCs w:val="36"/>
        </w:rPr>
        <w:t>96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68936C62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06546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D6CDD18" w14:textId="77777777" w:rsidR="00A06546" w:rsidRPr="00A06546" w:rsidRDefault="00A52638" w:rsidP="00A0654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 w:rsidR="00A06546" w:rsidRPr="00A06546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046AE06D" w14:textId="1EDF5FCF" w:rsidR="00A06546" w:rsidRPr="00A06546" w:rsidRDefault="00C5667E" w:rsidP="00A0654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2025/45</w:t>
      </w:r>
      <w:r w:rsidR="00A06546" w:rsidRPr="00A06546">
        <w:rPr>
          <w:rFonts w:asciiTheme="minorHAnsi" w:hAnsiTheme="minorHAnsi" w:cstheme="minorHAnsi"/>
          <w:b/>
          <w:bCs/>
          <w:color w:val="000000"/>
        </w:rPr>
        <w:t>)</w:t>
      </w:r>
    </w:p>
    <w:p w14:paraId="233B7EC1" w14:textId="6EF5F960" w:rsidR="00AB6A07" w:rsidRPr="00AB6A07" w:rsidRDefault="00AB6A07" w:rsidP="00A0654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2519CD1" w14:textId="5A39CA4C" w:rsidR="00E95206" w:rsidRDefault="00C5667E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C5667E">
        <w:rPr>
          <w:rFonts w:asciiTheme="minorHAnsi" w:hAnsiTheme="minorHAnsi" w:cstheme="minorHAnsi"/>
          <w:color w:val="000000"/>
        </w:rPr>
        <w:t xml:space="preserve">Çin Halk Cumhuriyeti, Hindistan Cumhuriyeti ve Malezya menşeli </w:t>
      </w:r>
      <w:proofErr w:type="gramStart"/>
      <w:r w:rsidRPr="00C5667E">
        <w:rPr>
          <w:rFonts w:asciiTheme="minorHAnsi" w:hAnsiTheme="minorHAnsi" w:cstheme="minorHAnsi"/>
          <w:b/>
          <w:color w:val="000000"/>
        </w:rPr>
        <w:t>5402.47</w:t>
      </w:r>
      <w:proofErr w:type="gramEnd"/>
      <w:r w:rsidRPr="00C5667E">
        <w:rPr>
          <w:rFonts w:asciiTheme="minorHAnsi" w:hAnsiTheme="minorHAnsi" w:cstheme="minorHAnsi"/>
          <w:color w:val="000000"/>
        </w:rPr>
        <w:t xml:space="preserve"> gümrük tarife pozisyonu altında sınıflandırılan “</w:t>
      </w:r>
      <w:r w:rsidRPr="00C5667E">
        <w:rPr>
          <w:rFonts w:asciiTheme="minorHAnsi" w:hAnsiTheme="minorHAnsi" w:cstheme="minorHAnsi"/>
          <w:b/>
          <w:color w:val="000000"/>
        </w:rPr>
        <w:t>diğerleri, </w:t>
      </w:r>
      <w:proofErr w:type="spellStart"/>
      <w:r w:rsidRPr="00C5667E">
        <w:rPr>
          <w:rStyle w:val="spelle"/>
          <w:rFonts w:asciiTheme="minorHAnsi" w:hAnsiTheme="minorHAnsi" w:cstheme="minorHAnsi"/>
          <w:b/>
          <w:color w:val="000000"/>
        </w:rPr>
        <w:t>poliesterlerden</w:t>
      </w:r>
      <w:proofErr w:type="spellEnd"/>
      <w:r w:rsidRPr="00C5667E">
        <w:rPr>
          <w:rFonts w:asciiTheme="minorHAnsi" w:hAnsiTheme="minorHAnsi" w:cstheme="minorHAnsi"/>
          <w:color w:val="000000"/>
        </w:rPr>
        <w:t>” ürününün ithalatına yönelik yürürlükte bulunan dampinge karşı kesin önlemlere ilişkin olarak bir nihai gözden geçirme soruşturması</w:t>
      </w:r>
      <w:r>
        <w:rPr>
          <w:rFonts w:asciiTheme="minorHAnsi" w:hAnsiTheme="minorHAnsi" w:cstheme="minorHAnsi"/>
          <w:color w:val="000000"/>
        </w:rPr>
        <w:t xml:space="preserve"> açılmış; </w:t>
      </w:r>
      <w:r w:rsidRPr="00C5667E">
        <w:rPr>
          <w:rFonts w:asciiTheme="minorHAnsi" w:hAnsiTheme="minorHAnsi" w:cstheme="minorHAnsi"/>
          <w:color w:val="000000"/>
        </w:rPr>
        <w:t> </w:t>
      </w:r>
      <w:r>
        <w:rPr>
          <w:rFonts w:asciiTheme="minorHAnsi" w:hAnsiTheme="minorHAnsi" w:cstheme="minorHAnsi"/>
          <w:color w:val="000000"/>
        </w:rPr>
        <w:t xml:space="preserve">sonuçlanıncaya kadar da meri önlem olan,  </w:t>
      </w:r>
      <w:r w:rsidRPr="00C5667E">
        <w:rPr>
          <w:rFonts w:asciiTheme="minorHAnsi" w:hAnsiTheme="minorHAnsi" w:cstheme="minorHAnsi"/>
          <w:color w:val="000000"/>
        </w:rPr>
        <w:t xml:space="preserve">Tebliğ No: </w:t>
      </w:r>
      <w:r w:rsidRPr="00C5667E">
        <w:rPr>
          <w:rFonts w:asciiTheme="minorHAnsi" w:hAnsiTheme="minorHAnsi" w:cstheme="minorHAnsi"/>
          <w:b/>
          <w:color w:val="000000"/>
        </w:rPr>
        <w:t>2021/1</w:t>
      </w:r>
      <w:r w:rsidRPr="00C5667E">
        <w:rPr>
          <w:rFonts w:asciiTheme="minorHAnsi" w:hAnsiTheme="minorHAnsi" w:cstheme="minorHAnsi"/>
          <w:b/>
          <w:color w:val="000000"/>
        </w:rPr>
        <w:t>’</w:t>
      </w:r>
      <w:r>
        <w:rPr>
          <w:rFonts w:asciiTheme="minorHAnsi" w:hAnsiTheme="minorHAnsi" w:cstheme="minorHAnsi"/>
          <w:color w:val="000000"/>
        </w:rPr>
        <w:t xml:space="preserve"> in aynen uygulanmasına karar verilmiştir. </w:t>
      </w:r>
    </w:p>
    <w:p w14:paraId="6DAFD0B5" w14:textId="77777777" w:rsidR="00C5667E" w:rsidRPr="00C5667E" w:rsidRDefault="00C5667E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  <w:bookmarkStart w:id="0" w:name="_GoBack"/>
      <w:bookmarkEnd w:id="0"/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2CCE14BA" w:rsidR="0048316E" w:rsidRDefault="00C5667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C5667E">
          <w:rPr>
            <w:rStyle w:val="Kpr"/>
          </w:rPr>
          <w:t>https://www.resmigazete.gov.tr/eskiler/2025/12/20251231-10.htm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BEE100" w14:textId="77777777" w:rsidR="00426EBD" w:rsidRDefault="00426EBD" w:rsidP="00432733">
      <w:r>
        <w:separator/>
      </w:r>
    </w:p>
  </w:endnote>
  <w:endnote w:type="continuationSeparator" w:id="0">
    <w:p w14:paraId="0EC7ED49" w14:textId="77777777" w:rsidR="00426EBD" w:rsidRDefault="00426EB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E22F97" w14:textId="77777777" w:rsidR="00426EBD" w:rsidRDefault="00426EBD" w:rsidP="00432733">
      <w:r>
        <w:separator/>
      </w:r>
    </w:p>
  </w:footnote>
  <w:footnote w:type="continuationSeparator" w:id="0">
    <w:p w14:paraId="170FA9C7" w14:textId="77777777" w:rsidR="00426EBD" w:rsidRDefault="00426EB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26EB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6EB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26EB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-10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86BAFD5-C75F-4D15-BD12-D727B67A1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3888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927</cp:revision>
  <dcterms:created xsi:type="dcterms:W3CDTF">2023-12-30T17:34:00Z</dcterms:created>
  <dcterms:modified xsi:type="dcterms:W3CDTF">2025-12-31T03:07:00Z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